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1F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23 ОТ 11.09.2017 Г. ПО Т. Д. № 2413/2015 Г., Т. К., ІІ Т. О. НА ВКС</w:t>
      </w:r>
    </w:p>
    <w:p w:rsidR="00000000" w:rsidRDefault="00451F1C" w:rsidP="00BC58B6">
      <w:pPr>
        <w:spacing w:after="0" w:line="240" w:lineRule="auto"/>
        <w:ind w:firstLine="851"/>
        <w:jc w:val="center"/>
        <w:divId w:val="169608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Върховният касационен съд на Република Бъл</w:t>
      </w:r>
      <w:r>
        <w:rPr>
          <w:rFonts w:ascii="Times New Roman" w:eastAsia="Times New Roman" w:hAnsi="Times New Roman" w:cs="Times New Roman"/>
          <w:sz w:val="24"/>
          <w:szCs w:val="24"/>
        </w:rPr>
        <w:t>гария, Търговска колегия, второ отделение, в публично заседание на двадесет и пети януари през две хиляди и седемнадесета година в състав:</w:t>
      </w:r>
    </w:p>
    <w:p w:rsidR="00000000" w:rsidRDefault="0045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51F1C">
      <w:pPr>
        <w:spacing w:after="0" w:line="240" w:lineRule="auto"/>
        <w:ind w:firstLine="851"/>
        <w:divId w:val="1589386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ТАТЯНА ВЪРБАНОВА</w:t>
      </w:r>
    </w:p>
    <w:p w:rsidR="00000000" w:rsidRDefault="00451F1C">
      <w:pPr>
        <w:spacing w:after="0" w:line="240" w:lineRule="auto"/>
        <w:ind w:firstLine="851"/>
        <w:divId w:val="986662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БОЯН БАЛЕВСКИ</w:t>
      </w:r>
    </w:p>
    <w:p w:rsidR="00000000" w:rsidRDefault="00451F1C">
      <w:pPr>
        <w:spacing w:after="0" w:line="240" w:lineRule="auto"/>
        <w:ind w:firstLine="851"/>
        <w:divId w:val="1104761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ПЕТЯ ХОРОЗОВА</w:t>
      </w:r>
    </w:p>
    <w:p w:rsidR="00000000" w:rsidRDefault="0045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51F1C" w:rsidP="00BC58B6">
      <w:pPr>
        <w:spacing w:after="0" w:line="240" w:lineRule="auto"/>
        <w:ind w:firstLine="851"/>
        <w:jc w:val="both"/>
        <w:divId w:val="223950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участието на секретаря И. В., изслуша докл</w:t>
      </w:r>
      <w:r>
        <w:rPr>
          <w:rFonts w:ascii="Times New Roman" w:eastAsia="Times New Roman" w:hAnsi="Times New Roman" w:cs="Times New Roman"/>
          <w:sz w:val="24"/>
          <w:szCs w:val="24"/>
        </w:rPr>
        <w:t>адваното от съдия П. Х. т.д. № 2413/2015 г. и за да се произнесе, взе предвид:</w:t>
      </w:r>
    </w:p>
    <w:p w:rsidR="00000000" w:rsidRDefault="00451F1C" w:rsidP="00BC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51F1C" w:rsidP="00BC58B6">
      <w:pPr>
        <w:spacing w:after="0" w:line="240" w:lineRule="auto"/>
        <w:ind w:firstLine="851"/>
        <w:jc w:val="both"/>
        <w:divId w:val="1518160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Производството е по реда на чл. 290 от ГПК.</w:t>
      </w:r>
    </w:p>
    <w:p w:rsidR="00000000" w:rsidRDefault="00451F1C" w:rsidP="00BC58B6">
      <w:pPr>
        <w:spacing w:after="0" w:line="240" w:lineRule="auto"/>
        <w:ind w:firstLine="851"/>
        <w:jc w:val="both"/>
        <w:divId w:val="2062778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Образувано е по касационна жалба на СП02 Е. [населено място], чрез процесуалния му пълномощник, срещу решение № 1151/02.06.2015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в.гр. д. № 712/2015 г. на Софийския апелативен съд, Гражданско отделение - 7 състав, с което, след отмяна на решение № 18371/19.11.2014 г. на Софийски градски съд по гр. д. № 7326/2013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осъден да заплати на М. Й. И. от [населено място] 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мата 243 900 лв. - заемна сума по договор за заем от 20.03.2011 г., на основание чл. 240, ал. 1 ЗЗД; сумата 24 390 лв.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възнаградителна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лихва, на основание чл. 240, ал. 2 ЗЗД и сумата 116 975 лв. - неустойка за забава за периода: 20.03.2012 г. - 29.05.201</w:t>
      </w:r>
      <w:r>
        <w:rPr>
          <w:rFonts w:ascii="Times New Roman" w:eastAsia="Times New Roman" w:hAnsi="Times New Roman" w:cs="Times New Roman"/>
          <w:sz w:val="24"/>
          <w:szCs w:val="24"/>
        </w:rPr>
        <w:t>3 г., на основание чл. 92 ЗЗД, ведно със законната лихва върху главниците, считано от 29.05.2013 г. до окончателното им изплащане. Присъдени са и разноски в размер на 59 215.30 лв.</w:t>
      </w:r>
    </w:p>
    <w:p w:rsidR="00000000" w:rsidRDefault="00451F1C" w:rsidP="00BC58B6">
      <w:pPr>
        <w:spacing w:after="0" w:line="240" w:lineRule="auto"/>
        <w:ind w:firstLine="851"/>
        <w:jc w:val="both"/>
        <w:divId w:val="293216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излага подробни доводи за неправилност на решението, като се позо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вава на всички основания, визирани в чл. 281, т. 3 ГПК. Моли за отмяната му и постановяване на ново решение, с което да бъде потвърден резултатът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първоинстанционния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съдебен акт за отхвърляне на предявените искове, ведно с присъждане на съдебно-деловодни</w:t>
      </w:r>
      <w:r>
        <w:rPr>
          <w:rFonts w:ascii="Times New Roman" w:eastAsia="Times New Roman" w:hAnsi="Times New Roman" w:cs="Times New Roman"/>
          <w:sz w:val="24"/>
          <w:szCs w:val="24"/>
        </w:rPr>
        <w:t>те разноски за всички инстанции. В проведеното о.с.з. жалбата се поддържа и се моли същата да бъде уважена.</w:t>
      </w:r>
    </w:p>
    <w:p w:rsidR="00000000" w:rsidRDefault="00451F1C" w:rsidP="00BC58B6">
      <w:pPr>
        <w:spacing w:after="0" w:line="240" w:lineRule="auto"/>
        <w:ind w:firstLine="851"/>
        <w:jc w:val="both"/>
        <w:divId w:val="1184132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Оплакванията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незаконосъобразност и необоснованост на първо място касаят заключението на съда, че представеният по делото писмен догов</w:t>
      </w:r>
      <w:r>
        <w:rPr>
          <w:rFonts w:ascii="Times New Roman" w:eastAsia="Times New Roman" w:hAnsi="Times New Roman" w:cs="Times New Roman"/>
          <w:sz w:val="24"/>
          <w:szCs w:val="24"/>
        </w:rPr>
        <w:t>ор за заем удостоверява валидно възникнало заемно правоотношение, с уговорени лихви и неустойки, с оглед обстоятелството, че същият е сключен между ответното дружество, представлявано от управителя и едноличен собственик М. И., и същото лице в лично качест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во, и предвид възраженията, че документът, съставен изцяло от ищеца,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антидатиран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намира за неправилен извода, че в случая нормата на чл. 181 ГПК е изцяло неприложима. Въз основа на нея счита, че достоверната дата на договора за заем е тази на </w:t>
      </w:r>
      <w:r>
        <w:rPr>
          <w:rFonts w:ascii="Times New Roman" w:eastAsia="Times New Roman" w:hAnsi="Times New Roman" w:cs="Times New Roman"/>
          <w:sz w:val="24"/>
          <w:szCs w:val="24"/>
        </w:rPr>
        <w:t>предявяване на исковата молба в съда, поради липса на други обективни данни за съществуването му преди това, включително - липса на осчетоводяване или отбелязване на договора в дружествените книги, на което съдът не е отдал нужното правно значение. На след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ващо място се оспорват като необосновани и изводите в обжалваното решение за неоснователност на възражението за прихващане, основано на чл. 145 ТЗ, а именно, че ищецът не е извършил управленски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деликт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уговарянето на лихви и неустойки по заема. Поддържа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се, че М. И. е договорил сам със себе си като управител на ответника необичайни, непазарни и крайно неблагоприятни за дружеството лихви и неустойки и това поведение безспорно не съответства на дължимата от него грижа на добрия търговец. На последно място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твърди, че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нарушение на закона и задължителната съдебна практика, съдът е присъдил законна лихва върху неустойката за забава.</w:t>
      </w:r>
    </w:p>
    <w:p w:rsidR="00000000" w:rsidRDefault="00451F1C" w:rsidP="00BC58B6">
      <w:pPr>
        <w:spacing w:after="0" w:line="240" w:lineRule="auto"/>
        <w:ind w:firstLine="851"/>
        <w:jc w:val="both"/>
        <w:divId w:val="1525739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писмен отговор в срока по чл. 287, ал. 1 ГПК, който се поддържа в о.с.з., ответникът по касация М. Й. И., чрез процесуалния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 пълномощник, оспорва основателността на касационната жалба. Счита обжалваното решение за законосъобразно и обосновано и моли същото да бъде оставено в сила, с присъждане на сторените по делото разноски. Излага съображения в подкрепа на приетото от съда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неприложимост на нормата на чл. 181 ГПК, т.к. договорът е подписан и изхожда от двете страни - ищеца и ответника, както и че тежестта за установяване на дата, различна от тази в документа, е върху ответника. Намира, че възражението за прихващане е отхв</w:t>
      </w:r>
      <w:r>
        <w:rPr>
          <w:rFonts w:ascii="Times New Roman" w:eastAsia="Times New Roman" w:hAnsi="Times New Roman" w:cs="Times New Roman"/>
          <w:sz w:val="24"/>
          <w:szCs w:val="24"/>
        </w:rPr>
        <w:t>ърлено правилно, т.к. ищецът в качеството си на управител не е договорил неустойки и лихви извън обичайните такива между търговци, а лихва за забава върху вземане за неустойка се дължи на общо основание, в какъвто смисъл цитира задължителна практика на ВКС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451F1C" w:rsidP="00BC58B6">
      <w:pPr>
        <w:spacing w:after="0" w:line="240" w:lineRule="auto"/>
        <w:ind w:firstLine="851"/>
        <w:jc w:val="both"/>
        <w:divId w:val="9418410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Върховният касационен съд, Търговска колегия, второ отделение, за да се произнесе по реда на чл. 290 и сл. ГПК, като прецени данните по делото и доводите на страните, приема следното:</w:t>
      </w:r>
    </w:p>
    <w:p w:rsidR="00000000" w:rsidRDefault="00451F1C" w:rsidP="00BC58B6">
      <w:pPr>
        <w:spacing w:after="0" w:line="240" w:lineRule="auto"/>
        <w:ind w:firstLine="851"/>
        <w:jc w:val="both"/>
        <w:divId w:val="997538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Съставът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въззивния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съд от фактическа страна е приел, че ищецът М.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до 12.07.2011 г. е бил едноличен собственик на капитала на СП02 Е.. Той представя договор за заем от 20.03.2011 г., по силата на който се задължава да предостави на дружеството си в 10 дневен срок сумата от 243 900 лв.,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заемателят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длъжен да я върн</w:t>
      </w:r>
      <w:r>
        <w:rPr>
          <w:rFonts w:ascii="Times New Roman" w:eastAsia="Times New Roman" w:hAnsi="Times New Roman" w:cs="Times New Roman"/>
          <w:sz w:val="24"/>
          <w:szCs w:val="24"/>
        </w:rPr>
        <w:t>е до 20.03.2012 г. по банков път, ведно с договорна лихва в размер на 24 390 лв. В чл. 7 от договора е уговорена и неустойка за забава при връщане на дължимите суми, в размер на 0.1 % за всеки просрочен ден. В същия смисъл е взето и решение на едноличния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обственик на капитала за кредитиране на дружеството с горната сума при посочените условия, с дата 15.03.2011 г. На 24.03.2011 г. сумата от 243 900 лв. е преведена по банков път на СП02 Е. с основание за превода - по договор за заем, а на 24.03.2011 г. 243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 лв. са били преведени от същата сметка на ЧСИ П. Г. като цена за придобиване от дружеството, обявено за купувач при публична продан, на недвижими имоти в землището на [населено място],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С.. В счетоводния баланс на дружеството към 31.12.2011 г. е ос</w:t>
      </w:r>
      <w:r>
        <w:rPr>
          <w:rFonts w:ascii="Times New Roman" w:eastAsia="Times New Roman" w:hAnsi="Times New Roman" w:cs="Times New Roman"/>
          <w:sz w:val="24"/>
          <w:szCs w:val="24"/>
        </w:rPr>
        <w:t>четоводена сума в размер на 269 000 лв. в раздел „Други задължения“, а в отчета за паричните потоци същата е посочена като свързана с Д. и постъпила от допълнителни парични вноски. Свидетелят, обслужвал счетоводството на ответника, е дал разяснения, че гор</w:t>
      </w:r>
      <w:r>
        <w:rPr>
          <w:rFonts w:ascii="Times New Roman" w:eastAsia="Times New Roman" w:hAnsi="Times New Roman" w:cs="Times New Roman"/>
          <w:sz w:val="24"/>
          <w:szCs w:val="24"/>
        </w:rPr>
        <w:t>ното отбелязване е направено поради това, че срещу кредита по баланса /цената на недвижимите имоти/ е следвало да има някакво задължение, а документи в тази връзка липсвали. От заключението на вещото лице по проведената ССЕ се установява, че счетоводството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2011 г. не е водено коректно - липсват регистри, оборотна ведомост и аналитична документация, както и че сумата по договора за заем не е осчетоводена, поради липсата на посочения първичен документ. На 29.11.2011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съдружниците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СП02 О. - М. И. и М. С</w:t>
      </w:r>
      <w:r>
        <w:rPr>
          <w:rFonts w:ascii="Times New Roman" w:eastAsia="Times New Roman" w:hAnsi="Times New Roman" w:cs="Times New Roman"/>
          <w:sz w:val="24"/>
          <w:szCs w:val="24"/>
        </w:rPr>
        <w:t>. са продали дяловете си на АСТРОЕНЕРДЖИ С. БЪЛГАРИЯ Е. срещу сумата от 920 000 евро. В договорите са съобразени обстоятелствата, че дружеството е с капитал от 5 000 лв., че е собственик на два недвижими имота, че има договор за присъединяване на електриче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фотоволтаична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централа, одобрен ПУП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парцеларен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на кабелното трасе. Свидетелят, участвал като посредник за сключването на договорите по изкупуване на дяловете, дава показания, че така и не са му били предадени предварително счетоводните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дружеството.</w:t>
      </w:r>
    </w:p>
    <w:p w:rsidR="00000000" w:rsidRDefault="00451F1C" w:rsidP="00BC58B6">
      <w:pPr>
        <w:spacing w:after="0" w:line="240" w:lineRule="auto"/>
        <w:ind w:firstLine="851"/>
        <w:jc w:val="both"/>
        <w:divId w:val="161629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правна страна съдът е счел за неоснователно възражението за нищожност на договора за заем, поради това, че ищецът е договарял сам със себе си, с оглед постановките на ТР № 3/15.11.2013 г. на ОСГТК. За неоснователно е счел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възражението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недостоверна дата на договора за заем /по твърдения, че документите са съставени, когато вече ищецът не е имал качеството на управител на дружеството, т.е., че 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антидатирани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/. Посочил е, че когато документът се противопоставя на лице, което го е подп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исало, въпросът за достоверността на датата не стои, т.к. то е обвързано от посоченото в него и датата му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противопоставима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в случая договорът и решението на едноличния собственик са подписани между страните по делото. Следователно СП02 Е. не е трето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ице по смисъла на чл. 181 ГПК и посочената в документите дата важи. Съдът е намерил, че този извод не се разколебава от липсата на съответни отбелязвания в счетоводните книги, т.к., когато те са нередовно водени, нямат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доказателствена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сила. Предвид данните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че заемната сума реално е постъпила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патримониума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дружеството на посоченото правно основание, съдът е приел, че са доказани всички предпоставки за нейното връщане. Установяването на възражението на ответника, че се касае не за заем, а за допълнителна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парична вноска, е в негова тежест, а наличието на фактическия състав на чл. 134, ал. 1 ТЗ е останало недоказано по делото. Съдът не е счел за основателно и възражението, че с плащането на цената на дружествените дялове на ищеца от страна на АСТРОЕНЕРДЖИ С</w:t>
      </w:r>
      <w:r>
        <w:rPr>
          <w:rFonts w:ascii="Times New Roman" w:eastAsia="Times New Roman" w:hAnsi="Times New Roman" w:cs="Times New Roman"/>
          <w:sz w:val="24"/>
          <w:szCs w:val="24"/>
        </w:rPr>
        <w:t>. БЪЛГАРИЯ Е., заемът е погасен. По изложените съображения, и като се е основал на клаузите на писмения договор за заем и нормата на чл. 147, ал. 3 ТЗ, съдът е намерил предявените искове по чл. 240, ал. 1 и, ал. 2 и чл. 92 ЗЗД за основателни. Пристъпил е с</w:t>
      </w:r>
      <w:r>
        <w:rPr>
          <w:rFonts w:ascii="Times New Roman" w:eastAsia="Times New Roman" w:hAnsi="Times New Roman" w:cs="Times New Roman"/>
          <w:sz w:val="24"/>
          <w:szCs w:val="24"/>
        </w:rPr>
        <w:t>ъответно към разглеждане на възражението на СП02 Е. за прихващане със суми, дължими от ищеца в качеството му на бивш управител на дружеството, който го е увредил, на основание чл. 145 ТЗ, но го е счел за неоснователно.</w:t>
      </w:r>
    </w:p>
    <w:p w:rsidR="00000000" w:rsidRDefault="00451F1C" w:rsidP="00BC58B6">
      <w:pPr>
        <w:spacing w:after="0" w:line="240" w:lineRule="auto"/>
        <w:ind w:firstLine="851"/>
        <w:jc w:val="both"/>
        <w:divId w:val="1504975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определение № 705/11.08.2016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въззивното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е допуснато до касационно обжалване на основание чл. 280, ал. 1, т. 3 ГПК по въпроса относно възможността търговско дружество да оспори достоверността на датата на документ, съставен от негово име, евент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уално - кои са приложимите процесуални правила и как се разпределя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доказателствената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тежест. По него, становището на настоящия съдебен състав произтича от следното:</w:t>
      </w:r>
    </w:p>
    <w:p w:rsidR="00000000" w:rsidRDefault="00451F1C" w:rsidP="00BC58B6">
      <w:pPr>
        <w:spacing w:after="0" w:line="240" w:lineRule="auto"/>
        <w:ind w:firstLine="851"/>
        <w:jc w:val="both"/>
        <w:divId w:val="1650279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180 ГПК, частни документи, подписани от лицата, които са ги издали, съставлява</w:t>
      </w:r>
      <w:r>
        <w:rPr>
          <w:rFonts w:ascii="Times New Roman" w:eastAsia="Times New Roman" w:hAnsi="Times New Roman" w:cs="Times New Roman"/>
          <w:sz w:val="24"/>
          <w:szCs w:val="24"/>
        </w:rPr>
        <w:t>т доказателство, че изявленията, които се съдържат в тях, са направени от тези лица. Когато изявленията обхващат датата на документа, т.е. когато датата е включена в съдържанието му, всяко от лицата може да опровергава верността й и носи на основание чл.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54, ал. 1 ГПК тежестта да установи действителното време на съставяне, при съответните процесуални ограничения относно доказването /чл. 164, ал. 1, т. 6 ГПК и чл. 165, ал. 2 ГПК/. При възражение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антидатиране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посоченият в документа издател не може да 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ползва от правилата на чл. 181, ал. 1 ГПК относно достоверната дата, т.к. нейни адресати са само трети спрямо документа лица. Горното важи включително в хипотеза, при която документът, макар и двустранно издаден /т.е.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обективиращ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 между различни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а/, фактически има един и същ съставител, и това не е лицето, на което същият се противопоставя. Такава хипотеза е възможна, когато формално обвързаното от частния документ лице е търговско дружество, чийто представляващ действа в две качества -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/законен/ представител - от една страна и лично, като физическо лице, от друга, полагайки подписа си за всички участващи в издаването на документа лица. Тези особености на лицата, подписали документа, биха имали значение при доказването на оспорената да</w:t>
      </w:r>
      <w:r>
        <w:rPr>
          <w:rFonts w:ascii="Times New Roman" w:eastAsia="Times New Roman" w:hAnsi="Times New Roman" w:cs="Times New Roman"/>
          <w:sz w:val="24"/>
          <w:szCs w:val="24"/>
        </w:rPr>
        <w:t>та, осъществимо по общите правила.</w:t>
      </w:r>
    </w:p>
    <w:p w:rsidR="00000000" w:rsidRDefault="00451F1C" w:rsidP="00BC58B6">
      <w:pPr>
        <w:spacing w:after="0" w:line="240" w:lineRule="auto"/>
        <w:ind w:firstLine="851"/>
        <w:jc w:val="both"/>
        <w:divId w:val="1975334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основателността на жалбата, съставът на Върховния касационен съд, Търговска колегия, второ отделение намира следното:</w:t>
      </w:r>
    </w:p>
    <w:p w:rsidR="00000000" w:rsidRPr="00BC58B6" w:rsidRDefault="00451F1C" w:rsidP="00BC58B6">
      <w:pPr>
        <w:spacing w:after="0" w:line="240" w:lineRule="auto"/>
        <w:ind w:firstLine="851"/>
        <w:jc w:val="both"/>
        <w:divId w:val="13122467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>На първо място следва да се посочи, че възраженията по чл. 38, ал. 1 ЗЗД, повдигнати отново в провед</w:t>
      </w:r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 xml:space="preserve">еното о.с.з. пред настоящата инстанция, като </w:t>
      </w:r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основание за недействителност на договора за заем, не са предмет на касационната жалба, поради което и на основание чл. 290, ал. 2 ГПК не подлежат на разглеждане от съда. Независимо от горното, възражението би б</w:t>
      </w:r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 xml:space="preserve">ило неоснователно, т.к. законът изрично предвижда възможността, когато управителят на Е. е и едноличен собственик на капитала му, да сключва договори между себе си и дружеството, но при изисквания за писмената им форма като условие за действителност - чл. </w:t>
      </w:r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 xml:space="preserve">147, ал. 3 ТЗ, Цитираното от </w:t>
      </w:r>
      <w:proofErr w:type="spellStart"/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>касатора</w:t>
      </w:r>
      <w:proofErr w:type="spellEnd"/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решение № 14/27.01.2017 г. по т.д. № 1453/2014 г. на ВКС, ТК, </w:t>
      </w:r>
      <w:proofErr w:type="spellStart"/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>ІІ-ро</w:t>
      </w:r>
      <w:proofErr w:type="spellEnd"/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 xml:space="preserve"> ТО е </w:t>
      </w:r>
      <w:proofErr w:type="spellStart"/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>неотносимо</w:t>
      </w:r>
      <w:proofErr w:type="spellEnd"/>
      <w:r w:rsidRPr="00BC58B6">
        <w:rPr>
          <w:rFonts w:ascii="Times New Roman" w:eastAsia="Times New Roman" w:hAnsi="Times New Roman" w:cs="Times New Roman"/>
          <w:b/>
          <w:sz w:val="24"/>
          <w:szCs w:val="24"/>
        </w:rPr>
        <w:t xml:space="preserve"> към настоящия случай.</w:t>
      </w:r>
      <w:bookmarkStart w:id="0" w:name="_GoBack"/>
      <w:bookmarkEnd w:id="0"/>
    </w:p>
    <w:p w:rsidR="00000000" w:rsidRDefault="00451F1C" w:rsidP="00BC58B6">
      <w:pPr>
        <w:spacing w:after="0" w:line="240" w:lineRule="auto"/>
        <w:ind w:firstLine="851"/>
        <w:jc w:val="both"/>
        <w:divId w:val="485365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Неоснователно е и оплакването в жалбата, че спорът относно датата на съставяне на договора за заем следва да 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разреши при условията на чл. 181, ал. 1 ГПК, и само въз основа на тази норма да се приеме, че същият има достоверна и съответно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противопоставима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дата по отношение на ответника от предявяването на исковата молба, към която е бил приложен.</w:t>
      </w:r>
    </w:p>
    <w:p w:rsidR="00000000" w:rsidRDefault="00451F1C" w:rsidP="00BC58B6">
      <w:pPr>
        <w:spacing w:after="0" w:line="240" w:lineRule="auto"/>
        <w:ind w:firstLine="851"/>
        <w:jc w:val="both"/>
        <w:divId w:val="1515223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Основателно е опла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кването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необоснованост на извода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въззивния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съд, че договорът за заем не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антидатиран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 съставен на посочената в него дата, т.к. при формирането му не са оценени в тяхната съвкупност и логическа обусловеност всички обстоятелства от знач</w:t>
      </w:r>
      <w:r>
        <w:rPr>
          <w:rFonts w:ascii="Times New Roman" w:eastAsia="Times New Roman" w:hAnsi="Times New Roman" w:cs="Times New Roman"/>
          <w:sz w:val="24"/>
          <w:szCs w:val="24"/>
        </w:rPr>
        <w:t>ение по делото. При правилно установените посредством заключението по назначената ССЕ факти относно липсата на осчетоводяване на заемното правоотношение между едноличния собственик на капитала на СП02 Е. и дружеството, липса на първични счетоводни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тази връзка, както и на съответни аналитични ведомости,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въззивният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съд е приел, че това всъщност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ирелевантно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спорния предмет, т.к. нередовно водените счетоводни книги нямат никаква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доказателствена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сила. Съдът не е съобразил, че в случая горните об</w:t>
      </w:r>
      <w:r>
        <w:rPr>
          <w:rFonts w:ascii="Times New Roman" w:eastAsia="Times New Roman" w:hAnsi="Times New Roman" w:cs="Times New Roman"/>
          <w:sz w:val="24"/>
          <w:szCs w:val="24"/>
        </w:rPr>
        <w:t>стоятелства не касаят установяването на търговска сделка, съгласно правилата на чл. 55 ТЗ, а опровергаване датата на първичен документ, подлежащ по силата на закона на счетоводно отразяване в определен срок. Не е отчетено и че нередовно водените книги не м</w:t>
      </w:r>
      <w:r>
        <w:rPr>
          <w:rFonts w:ascii="Times New Roman" w:eastAsia="Times New Roman" w:hAnsi="Times New Roman" w:cs="Times New Roman"/>
          <w:sz w:val="24"/>
          <w:szCs w:val="24"/>
        </w:rPr>
        <w:t>огат да служат като доказателство в полза на лицата, задължени да ги водят, съгласно чл. 55, ал. 2 ТЗ, но че не може да се отрече значението им срещу тях. В този контекст не е съобразено, че задължението за осчетоводяване на оспорвания договор за заем, скл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ючен между едноличния собственик на капитала и дружеството, управлявано от него, не е изпълнено именно по времето, когато едно и също физическо лице - кредитор по договора за заем е едновременно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волеобразуващ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волеизявяващ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 на дружеството - длъжник. </w:t>
      </w:r>
      <w:r>
        <w:rPr>
          <w:rFonts w:ascii="Times New Roman" w:eastAsia="Times New Roman" w:hAnsi="Times New Roman" w:cs="Times New Roman"/>
          <w:sz w:val="24"/>
          <w:szCs w:val="24"/>
        </w:rPr>
        <w:t>Нормата на чл. 147, ал. 3 ТЗ, уреждаща задължителна форма за действителност на договорите в горната хипотеза, има за цел да предотврати/разреши конфликта на интереси при сключването им, но тази цел не може да бъде изпълнена, ако предписанието й се разглежд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изолирано от задълженията по чл. 53 и сл. ТЗ. По тези причини настоящият съдебен състав намира, че липсата на счетоводно отразяване, при отчитане на конкретните обстоятелства около сключването на договора за заем, има достатъчно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доказателствено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 </w:t>
      </w:r>
      <w:r>
        <w:rPr>
          <w:rFonts w:ascii="Times New Roman" w:eastAsia="Times New Roman" w:hAnsi="Times New Roman" w:cs="Times New Roman"/>
          <w:sz w:val="24"/>
          <w:szCs w:val="24"/>
        </w:rPr>
        <w:t>за формиране на извода, че същият не е съставен, респективно сключен на посочената в него дата и/или докато ищецът е бил управител и едноличен собственик на капитала на ответното дружество.</w:t>
      </w:r>
    </w:p>
    <w:p w:rsidR="00000000" w:rsidRDefault="00451F1C" w:rsidP="00BC58B6">
      <w:pPr>
        <w:spacing w:after="0" w:line="240" w:lineRule="auto"/>
        <w:ind w:firstLine="851"/>
        <w:jc w:val="both"/>
        <w:divId w:val="681131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Както правилно е приел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въззивният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съд, в хипотезата на чл. 147, 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3 ТЗ представените банкови документи удостоверяват реалното постъпване на сумата по сметка на дружеството, но не доказват основанието, на което тя му е била предоставена. Липсата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обективиран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 в писмена форма в съответствие с изискванията на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147, ал. 3 ГПК, към релевантния и сочен в исковата молба момент, изключва основателността на иск за реално изпълнение, основан на този договор.</w:t>
      </w:r>
    </w:p>
    <w:p w:rsidR="00000000" w:rsidRDefault="00451F1C" w:rsidP="00BC58B6">
      <w:pPr>
        <w:spacing w:after="0" w:line="240" w:lineRule="auto"/>
        <w:ind w:firstLine="851"/>
        <w:jc w:val="both"/>
        <w:divId w:val="1426027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останалите оплаквания в касационната жалба съдът не дължи произнасяне, доколкото същите са направени в услов</w:t>
      </w:r>
      <w:r>
        <w:rPr>
          <w:rFonts w:ascii="Times New Roman" w:eastAsia="Times New Roman" w:hAnsi="Times New Roman" w:cs="Times New Roman"/>
          <w:sz w:val="24"/>
          <w:szCs w:val="24"/>
        </w:rPr>
        <w:t>ия на евентуалност.</w:t>
      </w:r>
    </w:p>
    <w:p w:rsidR="00000000" w:rsidRDefault="00451F1C" w:rsidP="00BC58B6">
      <w:pPr>
        <w:spacing w:after="0" w:line="240" w:lineRule="auto"/>
        <w:ind w:firstLine="851"/>
        <w:jc w:val="both"/>
        <w:divId w:val="1269586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оглед гореизложеното, решението на Софийския апелативен съд се преценява като неправилно и следва да бъде отменено, на основание чл. 293, ал. 2 ГПК, а делото да се реши по същество от касационната инстанция, като предявените искове бъ</w:t>
      </w:r>
      <w:r>
        <w:rPr>
          <w:rFonts w:ascii="Times New Roman" w:eastAsia="Times New Roman" w:hAnsi="Times New Roman" w:cs="Times New Roman"/>
          <w:sz w:val="24"/>
          <w:szCs w:val="24"/>
        </w:rPr>
        <w:t>дат отхвърлени.</w:t>
      </w:r>
    </w:p>
    <w:p w:rsidR="00000000" w:rsidRDefault="00451F1C" w:rsidP="00BC58B6">
      <w:pPr>
        <w:spacing w:after="0" w:line="240" w:lineRule="auto"/>
        <w:ind w:firstLine="851"/>
        <w:jc w:val="both"/>
        <w:divId w:val="613249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този изход от спора, в полза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следва да се присъдят сторените съдебно-деловодни разноски за трите инстанции, в размер на 47 005.29 лв., съобразно представения списък по чл. 80 ГПК.</w:t>
      </w:r>
    </w:p>
    <w:p w:rsidR="00000000" w:rsidRDefault="00451F1C" w:rsidP="00BC58B6">
      <w:pPr>
        <w:spacing w:after="0" w:line="240" w:lineRule="auto"/>
        <w:ind w:firstLine="851"/>
        <w:jc w:val="both"/>
        <w:divId w:val="1301154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Така мотивиран, Върховният касационен съд, т</w:t>
      </w:r>
      <w:r>
        <w:rPr>
          <w:rFonts w:ascii="Times New Roman" w:eastAsia="Times New Roman" w:hAnsi="Times New Roman" w:cs="Times New Roman"/>
          <w:sz w:val="24"/>
          <w:szCs w:val="24"/>
        </w:rPr>
        <w:t>ърговска колегия, състав на второ отделение</w:t>
      </w:r>
    </w:p>
    <w:p w:rsidR="00000000" w:rsidRDefault="00451F1C" w:rsidP="00BC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51F1C" w:rsidP="00BC58B6">
      <w:pPr>
        <w:spacing w:after="0" w:line="240" w:lineRule="auto"/>
        <w:ind w:firstLine="851"/>
        <w:jc w:val="both"/>
        <w:divId w:val="336275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000000" w:rsidRDefault="00451F1C" w:rsidP="00BC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51F1C" w:rsidP="00BC58B6">
      <w:pPr>
        <w:spacing w:after="0" w:line="240" w:lineRule="auto"/>
        <w:ind w:firstLine="851"/>
        <w:jc w:val="both"/>
        <w:divId w:val="1031808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ОТМЕНЯ решение № 1151/02.06.2015 г. по в.гр. д. № 712/2015 г. на Софийския апелативен съд, Гражданско отделение, 7 състав, И ВМЕСТО НЕГО ПОСТАНОВЯВА:</w:t>
      </w:r>
    </w:p>
    <w:p w:rsidR="00000000" w:rsidRDefault="00451F1C" w:rsidP="00BC58B6">
      <w:pPr>
        <w:spacing w:after="0" w:line="240" w:lineRule="auto"/>
        <w:ind w:firstLine="851"/>
        <w:jc w:val="both"/>
        <w:divId w:val="145584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ОТХВЪРЛЯ исковете на М. Й. И. от [населено място]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отив СП02 Е. [населено място] за заплащане на следните суми: 243 900 лв. - заемна сума по договор за заем от 20.03.2011 г., на основание чл. 240, ал. 1 ЗЗД; 24 390 лв.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възнаградителна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лихва по договора за заем от 20.03.2011 г., на основание чл. 240, ал. </w:t>
      </w:r>
      <w:r>
        <w:rPr>
          <w:rFonts w:ascii="Times New Roman" w:eastAsia="Times New Roman" w:hAnsi="Times New Roman" w:cs="Times New Roman"/>
          <w:sz w:val="24"/>
          <w:szCs w:val="24"/>
        </w:rPr>
        <w:t>2 ЗЗД и 116 975 лв. - неустойка за забава по чл. 7 от договора за заем от 20.03.2011 г. за периода: 20.03.2012 г. - 29.05.2013 г., на основание чл. 92 ЗЗД, ведно със законната лихва върху главниците, считано от 29.05.2013 г. до окончателното им изплащане.</w:t>
      </w:r>
    </w:p>
    <w:p w:rsidR="00000000" w:rsidRDefault="00451F1C" w:rsidP="00BC58B6">
      <w:pPr>
        <w:spacing w:after="0" w:line="240" w:lineRule="auto"/>
        <w:ind w:firstLine="851"/>
        <w:jc w:val="both"/>
        <w:divId w:val="763184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ОСЪЖДА М. Й. И., ЕГН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от [населено място] да заплати на СП02 Е., ЕИК[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сумата 47 005.29 лв. - съдебно-деловодни разноски за всички инстанции.</w:t>
      </w:r>
    </w:p>
    <w:p w:rsidR="00451F1C" w:rsidRDefault="00451F1C" w:rsidP="00BC58B6">
      <w:pPr>
        <w:ind w:firstLine="851"/>
        <w:jc w:val="both"/>
        <w:divId w:val="1631206429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е окончателно.</w:t>
      </w:r>
    </w:p>
    <w:sectPr w:rsidR="0045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556"/>
    <w:rsid w:val="00451F1C"/>
    <w:rsid w:val="00550556"/>
    <w:rsid w:val="00B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2406</Words>
  <Characters>13719</Characters>
  <Application>Microsoft Office Word</Application>
  <DocSecurity>0</DocSecurity>
  <Lines>114</Lines>
  <Paragraphs>32</Paragraphs>
  <ScaleCrop>false</ScaleCrop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Mihail Iliev</cp:lastModifiedBy>
  <cp:revision>2</cp:revision>
  <dcterms:created xsi:type="dcterms:W3CDTF">2020-01-23T15:12:00Z</dcterms:created>
  <dcterms:modified xsi:type="dcterms:W3CDTF">2020-01-23T15:13:00Z</dcterms:modified>
</cp:coreProperties>
</file>